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2D" w:rsidRDefault="00AA392D" w:rsidP="00AA392D">
      <w:pPr>
        <w:spacing w:line="576" w:lineRule="exact"/>
        <w:rPr>
          <w:rFonts w:ascii="黑体" w:eastAsia="黑体" w:hAnsi="黑体" w:cs="黑体"/>
          <w:szCs w:val="32"/>
        </w:rPr>
      </w:pPr>
      <w:r>
        <w:rPr>
          <w:rFonts w:ascii="黑体" w:eastAsia="黑体" w:hAnsi="黑体" w:cs="黑体" w:hint="eastAsia"/>
          <w:szCs w:val="32"/>
        </w:rPr>
        <w:t>附件</w:t>
      </w:r>
      <w:r>
        <w:rPr>
          <w:rFonts w:eastAsia="黑体" w:cs="黑体" w:hint="eastAsia"/>
          <w:szCs w:val="32"/>
        </w:rPr>
        <w:t>3</w:t>
      </w:r>
    </w:p>
    <w:p w:rsidR="00AA392D" w:rsidRDefault="00AA392D" w:rsidP="00AA392D">
      <w:pPr>
        <w:spacing w:line="576" w:lineRule="exact"/>
        <w:rPr>
          <w:rFonts w:ascii="黑体" w:eastAsia="黑体" w:hAnsi="黑体" w:cs="黑体" w:hint="eastAsia"/>
          <w:szCs w:val="32"/>
        </w:rPr>
      </w:pPr>
    </w:p>
    <w:p w:rsidR="00AA392D" w:rsidRDefault="00AA392D" w:rsidP="00AA392D">
      <w:pPr>
        <w:spacing w:line="576"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服务型制造示范申报常见问题解答</w:t>
      </w:r>
    </w:p>
    <w:p w:rsidR="00AA392D" w:rsidRDefault="00AA392D" w:rsidP="00AA392D">
      <w:pPr>
        <w:spacing w:line="576" w:lineRule="exact"/>
        <w:jc w:val="center"/>
        <w:rPr>
          <w:rFonts w:ascii="方正小标宋简体" w:eastAsia="方正小标宋简体" w:hAnsi="方正小标宋简体" w:cs="方正小标宋简体" w:hint="eastAsia"/>
          <w:sz w:val="44"/>
          <w:szCs w:val="44"/>
        </w:rPr>
      </w:pPr>
    </w:p>
    <w:p w:rsidR="00AA392D" w:rsidRDefault="00AA392D" w:rsidP="00AA392D">
      <w:pPr>
        <w:spacing w:line="576" w:lineRule="exact"/>
        <w:ind w:firstLineChars="200" w:firstLine="640"/>
        <w:rPr>
          <w:rFonts w:eastAsia="黑体"/>
          <w:szCs w:val="32"/>
        </w:rPr>
      </w:pPr>
      <w:r>
        <w:rPr>
          <w:rFonts w:eastAsia="黑体"/>
          <w:szCs w:val="32"/>
        </w:rPr>
        <w:t>一、已获评省级服务型制造示范的主体还可以再申报吗？</w:t>
      </w:r>
    </w:p>
    <w:p w:rsidR="00AA392D" w:rsidRDefault="00AA392D" w:rsidP="00AA392D">
      <w:pPr>
        <w:spacing w:line="576" w:lineRule="exact"/>
        <w:ind w:firstLineChars="200" w:firstLine="640"/>
        <w:rPr>
          <w:rFonts w:eastAsia="仿宋_GB2312"/>
          <w:szCs w:val="32"/>
        </w:rPr>
      </w:pPr>
      <w:r>
        <w:rPr>
          <w:rFonts w:eastAsia="仿宋_GB2312"/>
          <w:szCs w:val="32"/>
        </w:rPr>
        <w:t>已获评过示范企业的申报主体，不可再申报示范平台或示范项目；已获评过示范平台的申报主体，可以申报示范企业，不可再申报示范项目；已获评过示范项目的申报主体，可以申报示范企业或示范平台。</w:t>
      </w:r>
    </w:p>
    <w:p w:rsidR="00AA392D" w:rsidRDefault="00AA392D" w:rsidP="00AA392D">
      <w:pPr>
        <w:spacing w:line="576" w:lineRule="exact"/>
        <w:ind w:firstLineChars="200" w:firstLine="640"/>
        <w:rPr>
          <w:rFonts w:eastAsia="黑体"/>
          <w:szCs w:val="32"/>
        </w:rPr>
      </w:pPr>
      <w:r>
        <w:rPr>
          <w:rFonts w:eastAsia="黑体"/>
          <w:szCs w:val="32"/>
        </w:rPr>
        <w:t>二、一个申报主体能同时申报多个示范类别吗？</w:t>
      </w:r>
    </w:p>
    <w:p w:rsidR="00AA392D" w:rsidRDefault="00AA392D" w:rsidP="00AA392D">
      <w:pPr>
        <w:spacing w:line="576" w:lineRule="exact"/>
        <w:ind w:firstLineChars="200" w:firstLine="640"/>
        <w:rPr>
          <w:rFonts w:eastAsia="仿宋_GB2312"/>
          <w:szCs w:val="32"/>
        </w:rPr>
      </w:pPr>
      <w:r>
        <w:rPr>
          <w:rFonts w:eastAsia="仿宋_GB2312"/>
          <w:szCs w:val="32"/>
        </w:rPr>
        <w:t>一个申报主体只能在示范企业、示范项目、示范平台中择其一；对于示范平台的申报，一个申报主体只能在共享制造模式类和其他模式类中择其一，建议申报主体挑选最具优势的类别进行申报。</w:t>
      </w:r>
    </w:p>
    <w:p w:rsidR="00AA392D" w:rsidRDefault="00AA392D" w:rsidP="00AA392D">
      <w:pPr>
        <w:spacing w:line="576" w:lineRule="exact"/>
        <w:ind w:firstLineChars="200" w:firstLine="640"/>
        <w:rPr>
          <w:rFonts w:eastAsia="黑体"/>
          <w:szCs w:val="32"/>
        </w:rPr>
      </w:pPr>
      <w:r>
        <w:rPr>
          <w:rFonts w:eastAsia="黑体"/>
          <w:szCs w:val="32"/>
        </w:rPr>
        <w:t>三、集团下属不同的子公司能同时进行申报吗？</w:t>
      </w:r>
    </w:p>
    <w:p w:rsidR="00AA392D" w:rsidRDefault="00AA392D" w:rsidP="00AA392D">
      <w:pPr>
        <w:spacing w:line="576" w:lineRule="exact"/>
        <w:ind w:firstLineChars="200" w:firstLine="640"/>
        <w:rPr>
          <w:rFonts w:eastAsia="仿宋_GB2312"/>
          <w:szCs w:val="32"/>
        </w:rPr>
      </w:pPr>
      <w:r>
        <w:rPr>
          <w:rFonts w:eastAsia="仿宋_GB2312"/>
          <w:szCs w:val="32"/>
        </w:rPr>
        <w:t>示范企业的申报主体需要看企业的注册主体，不同的企业注册主体可视为不同的申报主体进行申报；平台和项目同属于一个申报主体的，不得重复申报。</w:t>
      </w:r>
    </w:p>
    <w:p w:rsidR="00AA392D" w:rsidRDefault="00AA392D" w:rsidP="00AA392D">
      <w:pPr>
        <w:spacing w:line="576" w:lineRule="exact"/>
        <w:ind w:firstLineChars="200" w:firstLine="640"/>
        <w:rPr>
          <w:rFonts w:eastAsia="黑体"/>
          <w:szCs w:val="32"/>
        </w:rPr>
      </w:pPr>
      <w:r>
        <w:rPr>
          <w:rFonts w:eastAsia="黑体"/>
          <w:szCs w:val="32"/>
        </w:rPr>
        <w:t>四、集团母公司是服务类公司（无制造），子公司业务含有制造，但资质不如母公司，能否用母公司申报示范企业？</w:t>
      </w:r>
    </w:p>
    <w:p w:rsidR="00AA392D" w:rsidRDefault="00AA392D" w:rsidP="00AA392D">
      <w:pPr>
        <w:spacing w:line="576" w:lineRule="exact"/>
        <w:ind w:firstLineChars="200" w:firstLine="640"/>
        <w:rPr>
          <w:rFonts w:eastAsia="仿宋_GB2312"/>
          <w:szCs w:val="32"/>
        </w:rPr>
      </w:pPr>
      <w:r>
        <w:rPr>
          <w:rFonts w:eastAsia="仿宋_GB2312"/>
          <w:szCs w:val="32"/>
        </w:rPr>
        <w:t>可以申报。但需提供佐证材料：</w:t>
      </w:r>
      <w:r>
        <w:rPr>
          <w:rFonts w:ascii="宋体" w:eastAsia="宋体" w:hAnsi="宋体" w:cs="宋体" w:hint="eastAsia"/>
          <w:szCs w:val="32"/>
        </w:rPr>
        <w:t>①</w:t>
      </w:r>
      <w:r>
        <w:rPr>
          <w:rFonts w:eastAsia="仿宋_GB2312"/>
          <w:szCs w:val="32"/>
        </w:rPr>
        <w:t>母、子公司关系说明；</w:t>
      </w:r>
      <w:r>
        <w:rPr>
          <w:rFonts w:ascii="宋体" w:eastAsia="宋体" w:hAnsi="宋体" w:cs="宋体" w:hint="eastAsia"/>
          <w:szCs w:val="32"/>
        </w:rPr>
        <w:t>②</w:t>
      </w:r>
      <w:r>
        <w:rPr>
          <w:rFonts w:eastAsia="仿宋_GB2312"/>
          <w:szCs w:val="32"/>
        </w:rPr>
        <w:t>子公司生产制造情况说明。</w:t>
      </w:r>
    </w:p>
    <w:p w:rsidR="00AA392D" w:rsidRDefault="00AA392D" w:rsidP="00AA392D">
      <w:pPr>
        <w:spacing w:line="576" w:lineRule="exact"/>
        <w:ind w:firstLineChars="200" w:firstLine="640"/>
        <w:rPr>
          <w:rFonts w:eastAsia="黑体"/>
          <w:szCs w:val="32"/>
        </w:rPr>
      </w:pPr>
      <w:r>
        <w:rPr>
          <w:rFonts w:eastAsia="黑体"/>
          <w:szCs w:val="32"/>
        </w:rPr>
        <w:lastRenderedPageBreak/>
        <w:t>五、服务收入如何测算？（参考）</w:t>
      </w:r>
    </w:p>
    <w:p w:rsidR="00AA392D" w:rsidRDefault="00AA392D" w:rsidP="00AA392D">
      <w:pPr>
        <w:spacing w:line="576" w:lineRule="exact"/>
        <w:ind w:firstLineChars="200" w:firstLine="640"/>
        <w:rPr>
          <w:rFonts w:eastAsia="仿宋_GB2312"/>
          <w:szCs w:val="32"/>
        </w:rPr>
      </w:pPr>
      <w:r>
        <w:rPr>
          <w:rFonts w:eastAsia="仿宋_GB2312"/>
          <w:szCs w:val="32"/>
        </w:rPr>
        <w:t>企业的服务收入可包括对外提供服务的直接收入加上提供产品服务解决方案的间接收入。</w:t>
      </w:r>
    </w:p>
    <w:p w:rsidR="00AA392D" w:rsidRDefault="00AA392D" w:rsidP="00AA392D">
      <w:pPr>
        <w:spacing w:line="576" w:lineRule="exact"/>
        <w:ind w:firstLineChars="200" w:firstLine="640"/>
        <w:rPr>
          <w:rFonts w:eastAsia="楷体_GB2312"/>
          <w:szCs w:val="32"/>
        </w:rPr>
      </w:pPr>
      <w:r>
        <w:rPr>
          <w:rFonts w:eastAsia="楷体_GB2312" w:hint="eastAsia"/>
          <w:szCs w:val="32"/>
        </w:rPr>
        <w:t>（一）</w:t>
      </w:r>
      <w:r>
        <w:rPr>
          <w:rFonts w:eastAsia="楷体_GB2312"/>
          <w:szCs w:val="32"/>
        </w:rPr>
        <w:t>直接服务收入测算：</w:t>
      </w:r>
    </w:p>
    <w:p w:rsidR="00AA392D" w:rsidRDefault="00AA392D" w:rsidP="00AA392D">
      <w:pPr>
        <w:spacing w:line="576" w:lineRule="exact"/>
        <w:ind w:firstLineChars="200" w:firstLine="640"/>
        <w:rPr>
          <w:rFonts w:eastAsia="仿宋_GB2312"/>
          <w:szCs w:val="32"/>
        </w:rPr>
      </w:pPr>
      <w:r>
        <w:rPr>
          <w:rFonts w:eastAsia="仿宋_GB2312" w:hint="eastAsia"/>
          <w:szCs w:val="32"/>
        </w:rPr>
        <w:t>1</w:t>
      </w:r>
      <w:r>
        <w:rPr>
          <w:rFonts w:eastAsia="仿宋_GB2312" w:hint="eastAsia"/>
          <w:szCs w:val="32"/>
        </w:rPr>
        <w:t>．</w:t>
      </w:r>
      <w:r>
        <w:rPr>
          <w:rFonts w:eastAsia="仿宋_GB2312"/>
          <w:szCs w:val="32"/>
        </w:rPr>
        <w:t>远程运维、故障预警等数字化服务的运营费用；</w:t>
      </w:r>
    </w:p>
    <w:p w:rsidR="00AA392D" w:rsidRDefault="00AA392D" w:rsidP="00AA392D">
      <w:pPr>
        <w:spacing w:line="576" w:lineRule="exact"/>
        <w:ind w:firstLineChars="200" w:firstLine="640"/>
        <w:rPr>
          <w:rFonts w:eastAsia="仿宋_GB2312"/>
          <w:szCs w:val="32"/>
        </w:rPr>
      </w:pPr>
      <w:r>
        <w:rPr>
          <w:rFonts w:eastAsia="仿宋_GB2312" w:hint="eastAsia"/>
          <w:szCs w:val="32"/>
        </w:rPr>
        <w:t>2</w:t>
      </w:r>
      <w:r>
        <w:rPr>
          <w:rFonts w:eastAsia="仿宋_GB2312" w:hint="eastAsia"/>
          <w:szCs w:val="32"/>
        </w:rPr>
        <w:t>．</w:t>
      </w:r>
      <w:r>
        <w:rPr>
          <w:rFonts w:eastAsia="仿宋_GB2312"/>
          <w:szCs w:val="32"/>
        </w:rPr>
        <w:t>系统全生命周期各个环节涉及服务的直接收入（既包括企业基于自身产品延伸出的服务收入，也包括企业以客户需求为导向提供解决方案获得的服务收入。企业所提供的服务包括但不限于：设计与定制服务、物流仓储服务、零售和分销服务、安装及培训服务、产品维修和客户服务、处置和改装服务、咨询服务、检验检测服务、质量控制服务、管理及运营服务、金融服务、专利获得的收入、共享产线、共享供应链的服务收入等）；</w:t>
      </w:r>
    </w:p>
    <w:p w:rsidR="00AA392D" w:rsidRDefault="00AA392D" w:rsidP="00AA392D">
      <w:pPr>
        <w:spacing w:line="576" w:lineRule="exact"/>
        <w:ind w:firstLineChars="200" w:firstLine="640"/>
        <w:rPr>
          <w:rFonts w:eastAsia="仿宋_GB2312"/>
          <w:szCs w:val="32"/>
        </w:rPr>
      </w:pPr>
      <w:r>
        <w:rPr>
          <w:rFonts w:eastAsia="仿宋_GB2312" w:hint="eastAsia"/>
          <w:szCs w:val="32"/>
        </w:rPr>
        <w:t>3</w:t>
      </w:r>
      <w:r>
        <w:rPr>
          <w:rFonts w:eastAsia="仿宋_GB2312" w:hint="eastAsia"/>
          <w:szCs w:val="32"/>
        </w:rPr>
        <w:t>．</w:t>
      </w:r>
      <w:r>
        <w:rPr>
          <w:rFonts w:eastAsia="仿宋_GB2312"/>
          <w:szCs w:val="32"/>
        </w:rPr>
        <w:t>按使用量收费（从一次性收费转变为长期按使用量计费的收费方式）</w:t>
      </w:r>
    </w:p>
    <w:p w:rsidR="00AA392D" w:rsidRDefault="00AA392D" w:rsidP="00AA392D">
      <w:pPr>
        <w:spacing w:line="576" w:lineRule="exact"/>
        <w:ind w:firstLineChars="200" w:firstLine="640"/>
        <w:rPr>
          <w:rFonts w:eastAsia="仿宋_GB2312"/>
          <w:szCs w:val="32"/>
        </w:rPr>
      </w:pPr>
      <w:r>
        <w:rPr>
          <w:rFonts w:eastAsia="仿宋_GB2312"/>
          <w:szCs w:val="32"/>
        </w:rPr>
        <w:t>服务收入＝使用量（时间、次数、流量等）＊单位使用量。</w:t>
      </w:r>
    </w:p>
    <w:p w:rsidR="00AA392D" w:rsidRDefault="00AA392D" w:rsidP="00AA392D">
      <w:pPr>
        <w:spacing w:line="576" w:lineRule="exact"/>
        <w:ind w:firstLineChars="200" w:firstLine="640"/>
        <w:rPr>
          <w:rFonts w:eastAsia="楷体_GB2312"/>
          <w:szCs w:val="32"/>
        </w:rPr>
      </w:pPr>
      <w:r>
        <w:rPr>
          <w:rFonts w:eastAsia="楷体_GB2312" w:hint="eastAsia"/>
          <w:szCs w:val="32"/>
        </w:rPr>
        <w:t>（二）</w:t>
      </w:r>
      <w:r>
        <w:rPr>
          <w:rFonts w:eastAsia="楷体_GB2312"/>
          <w:szCs w:val="32"/>
        </w:rPr>
        <w:t>间接服务收入测算：</w:t>
      </w:r>
    </w:p>
    <w:p w:rsidR="00AA392D" w:rsidRDefault="00AA392D" w:rsidP="00AA392D">
      <w:pPr>
        <w:spacing w:line="576" w:lineRule="exact"/>
        <w:ind w:firstLineChars="200" w:firstLine="640"/>
        <w:rPr>
          <w:rFonts w:eastAsia="仿宋_GB2312"/>
          <w:szCs w:val="32"/>
        </w:rPr>
      </w:pPr>
      <w:r>
        <w:rPr>
          <w:rFonts w:eastAsia="仿宋_GB2312" w:hint="eastAsia"/>
          <w:szCs w:val="32"/>
        </w:rPr>
        <w:t>1</w:t>
      </w:r>
      <w:r>
        <w:rPr>
          <w:rFonts w:eastAsia="仿宋_GB2312" w:hint="eastAsia"/>
          <w:szCs w:val="32"/>
        </w:rPr>
        <w:t>．</w:t>
      </w:r>
      <w:r>
        <w:rPr>
          <w:rFonts w:eastAsia="仿宋_GB2312"/>
          <w:szCs w:val="32"/>
        </w:rPr>
        <w:t>个性化定制产品的服务收入：相较传统大规模制造产品，个性化定制产品的增值溢价部分，服务收入可估算为：个性化定制产品的价值减去相对应的大规模制造的普通产品（市场同类产品均价）；</w:t>
      </w:r>
    </w:p>
    <w:p w:rsidR="00AA392D" w:rsidRDefault="00AA392D" w:rsidP="00AA392D">
      <w:pPr>
        <w:spacing w:line="576" w:lineRule="exact"/>
        <w:ind w:firstLineChars="200" w:firstLine="640"/>
        <w:rPr>
          <w:rFonts w:eastAsia="仿宋_GB2312"/>
          <w:szCs w:val="32"/>
        </w:rPr>
      </w:pPr>
      <w:r>
        <w:rPr>
          <w:rFonts w:eastAsia="仿宋_GB2312" w:hint="eastAsia"/>
          <w:szCs w:val="32"/>
        </w:rPr>
        <w:t>2</w:t>
      </w:r>
      <w:r>
        <w:rPr>
          <w:rFonts w:eastAsia="仿宋_GB2312" w:hint="eastAsia"/>
          <w:szCs w:val="32"/>
        </w:rPr>
        <w:t>．</w:t>
      </w:r>
      <w:r>
        <w:rPr>
          <w:rFonts w:eastAsia="仿宋_GB2312"/>
          <w:szCs w:val="32"/>
        </w:rPr>
        <w:t>产品系统集成解决方案的服务收入：一般企业的总集成总承包（</w:t>
      </w:r>
      <w:r>
        <w:rPr>
          <w:rFonts w:eastAsia="仿宋_GB2312"/>
          <w:szCs w:val="32"/>
        </w:rPr>
        <w:t>BT</w:t>
      </w:r>
      <w:r>
        <w:rPr>
          <w:rFonts w:eastAsia="仿宋_GB2312"/>
          <w:szCs w:val="32"/>
        </w:rPr>
        <w:t>、</w:t>
      </w:r>
      <w:r>
        <w:rPr>
          <w:rFonts w:eastAsia="仿宋_GB2312"/>
          <w:szCs w:val="32"/>
        </w:rPr>
        <w:t>BOT</w:t>
      </w:r>
      <w:r>
        <w:rPr>
          <w:rFonts w:eastAsia="仿宋_GB2312"/>
          <w:szCs w:val="32"/>
        </w:rPr>
        <w:t>，不包含后市场服务的交钥匙工程</w:t>
      </w:r>
      <w:r>
        <w:rPr>
          <w:rFonts w:eastAsia="仿宋_GB2312"/>
          <w:szCs w:val="32"/>
        </w:rPr>
        <w:t>)</w:t>
      </w:r>
      <w:r>
        <w:rPr>
          <w:rFonts w:eastAsia="仿宋_GB2312"/>
          <w:szCs w:val="32"/>
        </w:rPr>
        <w:t>。</w:t>
      </w:r>
      <w:r>
        <w:rPr>
          <w:rFonts w:eastAsia="仿宋_GB2312"/>
          <w:szCs w:val="32"/>
        </w:rPr>
        <w:lastRenderedPageBreak/>
        <w:t>其商业模式主要是售卖产品系统，相较于传统售卖产品，包含了针对于特定需求的集成能力，会产生增值溢价。服务收入可估算为：系统整体的总收入减去系统内部的所有产品收入总和；</w:t>
      </w:r>
    </w:p>
    <w:p w:rsidR="00AA392D" w:rsidRDefault="00AA392D" w:rsidP="00AA392D">
      <w:pPr>
        <w:spacing w:line="576" w:lineRule="exact"/>
        <w:ind w:firstLineChars="200" w:firstLine="640"/>
        <w:rPr>
          <w:rFonts w:eastAsia="仿宋_GB2312"/>
          <w:szCs w:val="32"/>
        </w:rPr>
      </w:pPr>
      <w:r>
        <w:rPr>
          <w:rFonts w:eastAsia="仿宋_GB2312" w:hint="eastAsia"/>
          <w:szCs w:val="32"/>
        </w:rPr>
        <w:t>3</w:t>
      </w:r>
      <w:r>
        <w:rPr>
          <w:rFonts w:eastAsia="仿宋_GB2312" w:hint="eastAsia"/>
          <w:szCs w:val="32"/>
        </w:rPr>
        <w:t>．</w:t>
      </w:r>
      <w:r>
        <w:rPr>
          <w:rFonts w:eastAsia="仿宋_GB2312"/>
          <w:szCs w:val="32"/>
        </w:rPr>
        <w:t>基于备品备件的售后服务收入＝提供备品备件服务的总收入减去售卖备品备件产品自身的收入；</w:t>
      </w:r>
    </w:p>
    <w:p w:rsidR="00AA392D" w:rsidRDefault="00AA392D" w:rsidP="00AA392D">
      <w:pPr>
        <w:spacing w:line="576" w:lineRule="exact"/>
        <w:ind w:firstLineChars="200" w:firstLine="640"/>
        <w:rPr>
          <w:rFonts w:eastAsia="仿宋_GB2312"/>
          <w:szCs w:val="32"/>
        </w:rPr>
      </w:pPr>
      <w:r>
        <w:rPr>
          <w:rFonts w:eastAsia="仿宋_GB2312" w:hint="eastAsia"/>
          <w:szCs w:val="32"/>
        </w:rPr>
        <w:t>4</w:t>
      </w:r>
      <w:r>
        <w:rPr>
          <w:rFonts w:eastAsia="仿宋_GB2312" w:hint="eastAsia"/>
          <w:szCs w:val="32"/>
        </w:rPr>
        <w:t>．</w:t>
      </w:r>
      <w:r>
        <w:rPr>
          <w:rFonts w:eastAsia="仿宋_GB2312"/>
          <w:szCs w:val="32"/>
        </w:rPr>
        <w:t>客户支持协议的服务收入（由企业与客户制定服务等级协议，然后签订合同），该协议的服务收入可估算等于协议整体的总收入减去内部的所有产品收入总和。</w:t>
      </w:r>
    </w:p>
    <w:p w:rsidR="00AA392D" w:rsidRDefault="00AA392D" w:rsidP="00AA392D">
      <w:pPr>
        <w:spacing w:line="576" w:lineRule="exact"/>
        <w:ind w:firstLineChars="200" w:firstLine="640"/>
        <w:rPr>
          <w:rFonts w:eastAsia="楷体_GB2312"/>
          <w:szCs w:val="32"/>
        </w:rPr>
      </w:pPr>
      <w:r>
        <w:rPr>
          <w:rFonts w:eastAsia="楷体_GB2312" w:hint="eastAsia"/>
          <w:szCs w:val="32"/>
        </w:rPr>
        <w:t>（三）</w:t>
      </w:r>
      <w:r>
        <w:rPr>
          <w:rFonts w:eastAsia="楷体_GB2312"/>
          <w:szCs w:val="32"/>
        </w:rPr>
        <w:t>综合性服务收入测算方式：</w:t>
      </w:r>
    </w:p>
    <w:p w:rsidR="00AA392D" w:rsidRDefault="00AA392D" w:rsidP="00AA392D">
      <w:pPr>
        <w:spacing w:line="576" w:lineRule="exact"/>
        <w:ind w:firstLineChars="200" w:firstLine="640"/>
        <w:rPr>
          <w:rFonts w:eastAsia="仿宋_GB2312"/>
          <w:szCs w:val="32"/>
        </w:rPr>
      </w:pPr>
      <w:r>
        <w:rPr>
          <w:rFonts w:eastAsia="仿宋_GB2312"/>
          <w:szCs w:val="32"/>
        </w:rPr>
        <w:t>以上两种方式中的服务可按不同业务流程阶段合理叠加。</w:t>
      </w:r>
    </w:p>
    <w:p w:rsidR="00AA392D" w:rsidRDefault="00AA392D" w:rsidP="00AA392D">
      <w:pPr>
        <w:spacing w:line="576" w:lineRule="exact"/>
        <w:ind w:firstLineChars="200" w:firstLine="640"/>
        <w:rPr>
          <w:rFonts w:eastAsia="仿宋_GB2312"/>
          <w:szCs w:val="32"/>
        </w:rPr>
      </w:pPr>
      <w:r>
        <w:rPr>
          <w:rFonts w:eastAsia="仿宋_GB2312"/>
          <w:szCs w:val="32"/>
        </w:rPr>
        <w:t>关于服务收入的测算，企业需在申报材料中根据自身实际情况加以说明，评审时专家会根据实际情况进行评判。</w:t>
      </w:r>
    </w:p>
    <w:p w:rsidR="00AA392D" w:rsidRDefault="00AA392D" w:rsidP="00AA392D">
      <w:pPr>
        <w:spacing w:line="576" w:lineRule="exact"/>
        <w:rPr>
          <w:rFonts w:eastAsia="仿宋_GB2312" w:hint="eastAsia"/>
          <w:szCs w:val="32"/>
        </w:rPr>
      </w:pPr>
    </w:p>
    <w:p w:rsidR="00AA392D" w:rsidRDefault="00AA392D" w:rsidP="00AA392D">
      <w:pPr>
        <w:spacing w:line="576" w:lineRule="exact"/>
        <w:rPr>
          <w:rFonts w:eastAsia="仿宋_GB2312" w:hint="eastAsia"/>
          <w:szCs w:val="32"/>
        </w:rPr>
      </w:pPr>
    </w:p>
    <w:p w:rsidR="00DC1A5A" w:rsidRPr="00AA392D" w:rsidRDefault="00DC1A5A"/>
    <w:sectPr w:rsidR="00DC1A5A" w:rsidRPr="00AA39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A5A" w:rsidRDefault="00DC1A5A" w:rsidP="00AA392D">
      <w:r>
        <w:separator/>
      </w:r>
    </w:p>
  </w:endnote>
  <w:endnote w:type="continuationSeparator" w:id="1">
    <w:p w:rsidR="00DC1A5A" w:rsidRDefault="00DC1A5A" w:rsidP="00AA39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A5A" w:rsidRDefault="00DC1A5A" w:rsidP="00AA392D">
      <w:r>
        <w:separator/>
      </w:r>
    </w:p>
  </w:footnote>
  <w:footnote w:type="continuationSeparator" w:id="1">
    <w:p w:rsidR="00DC1A5A" w:rsidRDefault="00DC1A5A" w:rsidP="00AA39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92D"/>
    <w:rsid w:val="00AA392D"/>
    <w:rsid w:val="00DC1A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2D"/>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39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A392D"/>
    <w:rPr>
      <w:sz w:val="18"/>
      <w:szCs w:val="18"/>
    </w:rPr>
  </w:style>
  <w:style w:type="paragraph" w:styleId="a4">
    <w:name w:val="footer"/>
    <w:basedOn w:val="a"/>
    <w:link w:val="Char0"/>
    <w:uiPriority w:val="99"/>
    <w:semiHidden/>
    <w:unhideWhenUsed/>
    <w:rsid w:val="00AA39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A392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Words>
  <Characters>1043</Characters>
  <Application>Microsoft Office Word</Application>
  <DocSecurity>0</DocSecurity>
  <Lines>8</Lines>
  <Paragraphs>2</Paragraphs>
  <ScaleCrop>false</ScaleCrop>
  <Company>Microsoft</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2023-03-23T08:06:00Z</dcterms:created>
  <dcterms:modified xsi:type="dcterms:W3CDTF">2023-03-23T08:06:00Z</dcterms:modified>
</cp:coreProperties>
</file>